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4e678522dc184406" /></Relationships>
</file>

<file path=word/document.xml><?xml version="1.0" encoding="utf-8"?>
<w:document xmlns:w="http://schemas.openxmlformats.org/wordprocessingml/2006/main">
  <w:body>
    <w:tbl>
      <w:tblPr>
        <w:tblW w:w="9000" w:type="dxa"/>
        <w:tblBorders>
          <w:top w:val="nil"/>
          <w:bottom w:val="nil"/>
          <w:left w:val="nil"/>
          <w:right w:val="nil"/>
          <w:insideH w:val="nil"/>
          <w:insideV w:val="nil"/>
        </w:tblBorders>
        <w:tblCellSpacing w:w="60" w:type="dxa"/>
        <w:shd w:val="clear" w:color="auto" w:fill="E7F0F9"/>
      </w:tblPr>
      <w:tblGrid>
        <w:gridCol w:w="1200"/>
        <w:gridCol w:w="4500"/>
      </w:tblGrid>
      <w:tr>
        <w:tc>
          <w:tcPr>
            <w:tcW w:w="1200" w:type="pct"/>
            <w:shd w:val="clear" w:color="auto" w:fill="E7F0F9"/>
          </w:tcPr>
          <w:p>
            <w:pPr>
              <w:spacing w:before="0" w:after="0" w:line="240" w:lineRule="auto"/>
              <w:jc w:val="left"/>
            </w:pPr>
            <w:r>
              <w:rPr>
                <w:b/>
              </w:rPr>
              <w:t xml:space="preserve">RKP broj</w:t>
            </w:r>
          </w:p>
        </w:tc>
        <w:tc>
          <w:tcPr>
            <w:shd w:val="clear" w:color="auto" w:fill="E7F0F9"/>
          </w:tcPr>
          <w:p>
            <w:pPr>
              <w:spacing w:before="0" w:after="0" w:line="240" w:lineRule="auto"/>
              <w:jc w:val="left"/>
            </w:pPr>
            <w:r>
              <w:t xml:space="preserve">17415</w:t>
            </w:r>
          </w:p>
        </w:tc>
      </w:tr>
      <w:tr>
        <w:tc>
          <w:tcPr>
            <w:tcW w:w="1200" w:type="pct"/>
            <w:shd w:val="clear" w:color="auto" w:fill="E7F0F9"/>
          </w:tcPr>
          <w:p>
            <w:pPr>
              <w:spacing w:before="0" w:after="0" w:line="240" w:lineRule="auto"/>
              <w:jc w:val="left"/>
            </w:pPr>
            <w:r>
              <w:rPr>
                <w:b/>
              </w:rPr>
              <w:t xml:space="preserve">Naziv obveznika</w:t>
            </w:r>
          </w:p>
        </w:tc>
        <w:tc>
          <w:tcPr>
            <w:shd w:val="clear" w:color="auto" w:fill="E7F0F9"/>
          </w:tcPr>
          <w:p>
            <w:pPr>
              <w:spacing w:before="0" w:after="0" w:line="240" w:lineRule="auto"/>
              <w:jc w:val="left"/>
            </w:pPr>
            <w:r>
              <w:t xml:space="preserve">GIMNAZIJA EUGENA KUMIČIĆA OPATIJA</w:t>
            </w:r>
          </w:p>
        </w:tc>
      </w:tr>
      <w:tr>
        <w:tc>
          <w:tcPr>
            <w:tcW w:w="1200" w:type="pct"/>
            <w:shd w:val="clear" w:color="auto" w:fill="E7F0F9"/>
          </w:tcPr>
          <w:p>
            <w:pPr>
              <w:spacing w:before="0" w:after="0" w:line="240" w:lineRule="auto"/>
              <w:jc w:val="left"/>
            </w:pPr>
            <w:r>
              <w:rPr>
                <w:b/>
              </w:rPr>
              <w:t xml:space="preserve">Razina</w:t>
            </w:r>
          </w:p>
        </w:tc>
        <w:tc>
          <w:tcPr>
            <w:shd w:val="clear" w:color="auto" w:fill="E7F0F9"/>
          </w:tcPr>
          <w:p>
            <w:pPr>
              <w:spacing w:before="0" w:after="0" w:line="240" w:lineRule="auto"/>
              <w:jc w:val="left"/>
            </w:pPr>
            <w:r>
              <w:t xml:space="preserve">31</w:t>
            </w:r>
          </w:p>
        </w:tc>
      </w:tr>
    </w:tbl>
    <w:p>
      <w:r>
        <w:br/>
      </w:r>
    </w:p>
    <w:p>
      <w:pPr>
        <w:jc w:val="center"/>
        <w:pStyle w:val="Normal"/>
        <w:spacing w:line="240" w:lineRule="auto"/>
      </w:pPr>
      <w:r>
        <w:rPr>
          <w:b/>
          <w:sz w:val="28"/>
          <w:rFonts w:ascii="Times New Roman" w:hAnsi="Times New Roman"/>
        </w:rPr>
        <w:t xml:space="preserve">BILJEŠKE UZ FINANCIJSKE IZVJEŠTAJE</w:t>
      </w:r>
    </w:p>
    <w:p>
      <w:pPr>
        <w:jc w:val="center"/>
        <w:pStyle w:val="Normal"/>
        <w:spacing w:line="240" w:lineRule="auto"/>
      </w:pPr>
      <w:r>
        <w:rPr>
          <w:b/>
          <w:sz w:val="28"/>
          <w:rFonts w:ascii="Times New Roman" w:hAnsi="Times New Roman"/>
        </w:rPr>
        <w:t xml:space="preserve">ZA RAZDOBLJE</w:t>
      </w:r>
    </w:p>
    <w:p>
      <w:pPr>
        <w:jc w:val="center"/>
        <w:pStyle w:val="Normal"/>
        <w:spacing w:line="240" w:lineRule="auto"/>
      </w:pPr>
      <w:r>
        <w:rPr>
          <w:b/>
          <w:sz w:val="28"/>
          <w:rFonts w:ascii="Times New Roman" w:hAnsi="Times New Roman"/>
        </w:rPr>
        <w:t xml:space="preserve">I - VI 2026.</w:t>
      </w:r>
    </w:p>
    <w:p/>
    <w:p>
      <w:pPr>
        <w:jc w:val="center"/>
        <w:pStyle w:val="Normal"/>
        <w:spacing w:line="240" w:lineRule="auto"/>
        <w:keepNext/>
      </w:pPr>
      <w:r>
        <w:rPr>
          <w:b/>
          <w:sz w:val="28"/>
          <w:rFonts w:ascii="Times New Roman" w:hAnsi="Times New Roman"/>
        </w:rPr>
        <w:t xml:space="preserve">Izvještaj o prihodima i rashodima, primicima i izdacima</w:t>
      </w:r>
    </w:p>
    <w:p>
      <w:pPr>
        <w:jc w:val="center"/>
        <w:pStyle w:val="Normal"/>
        <w:spacing w:line="240" w:lineRule="auto"/>
        <w:keepNext/>
      </w:pPr>
      <w:r>
        <w:rPr>
          <w:sz w:val="28"/>
          <w:rFonts w:ascii="Times New Roman" w:hAnsi="Times New Roman"/>
        </w:rPr>
        <w:t xml:space="preserve">Bilješka 1.</w:t>
      </w:r>
    </w:p>
    <w:tbl>
      <w:tblPr>
        <w:tblBorders>
          <w:top w:val="single" w:color="BABABA" w:sz="12"/>
          <w:bottom w:val="single" w:color="BABABA" w:sz="12"/>
          <w:left w:val="single" w:color="BABABA" w:sz="12"/>
          <w:right w:val="single" w:color="BABABA" w:sz="12"/>
          <w:insideH w:val="single" w:color="BABABA" w:sz="8"/>
          <w:insideV w:val="single" w:color="DADADA" w:sz="8"/>
        </w:tblBorders>
        <w:tblW w:w="0" w:type="auto"/>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418.998,38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466.514,90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111,3</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POSLOVANJA (šifre 31+32+34+35+36+37+38)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489.404,42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472.179,72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96,5</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POSLOVANJA (šifre Z005-6)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70.406,04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5.664,82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8,0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nefinancijske imovine (šifre 71+72+73+74)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4.616,61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PRIHODA OD NEFINANCIJSKE IMOVINE (šifre 7-4,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X002, 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4.616,61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Primici od financijske imovine i zaduživanja (šifre 81+82+83+84+85)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Izdaci za financijsku imovinu i otplate zajmova (šifre 51+52+53+54+55)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VIŠAK/MANJAK PRIMITAKA OD FINANCIJSKE IMOVINE I ZADUŽIVANJA (šifre 8-5, 5-8)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X003, Y003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MANJAK PRIHODA I PRIMITAKA (šifre Y345-X678)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b/>
              </w:rPr>
              <w:t>Y005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75.022,65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5.664,82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b/>
              </w:rPr>
              <w:t>7,6</w:t>
            </w:r>
          </w:p>
        </w:tc>
      </w:tr>
    </w:tbl>
    <w:p>
      <w:pPr>
        <w:spacing w:before="0" w:after="0"/>
      </w:pPr>
    </w:p>
    <w:p>
      <w:r>
        <w:t xml:space="preserve">U izvještanom razdoblju Gimnazija Eugena Kumičića ostvarila je 466.514,90 eura prihoda poslovanja. Najveći dio odnosi se na plaće djelatnika, a koje su financirane od strane MZOMa. Ostatak prihoda odnosi se na nadležni proračun PGŽa koji financira redovnu djelatnost Gimnazije. Također Gimnazija ostvaruje prihode po najmu prostora, te prihode od prodaje koji se odnose na učeničku likovnu zadrugu. Gimnazija prihode ostvaruje i od Grada Opatije po ugovoru o doznaci sredstava za provođenje programa školskog kurikuluma.</w:t>
      </w:r>
    </w:p>
    <w:p>
      <w:r>
        <w:t xml:space="preserve">U izvještanom razdoblju Gimnazija Eugena Kumičića ostvarila je 472.179,72 eura rashoda poslovanja. Također se najveći dio odnosi na rashode za plaće djelatnika, te troškove redovnog poslovanja Gimnazije, a koje se podmiruju iz nadležnog proračuna PGŽa. Rashodi poslovanja troše se strogo namjenski. Gimnazija u izvještajnom razdoblju nije imala potrebu za nabavom nefinancijske imovine.</w:t>
      </w:r>
    </w:p>
    <w:p>
      <w:r>
        <w:t xml:space="preserve">Manjak prihoda i primitaka biti će pokrivem doznakom MZOMa za plaće djelatnika koje teret lipanj 2026. godine, zatim doznakom Osnivača za tzv. režijske troškove u srpnju 2026. godine.</w:t>
      </w:r>
    </w:p>
    <w:p>
      <w:r>
        <w:br/>
      </w:r>
    </w:p>
    <w:p>
      <w:pPr>
        <w:jc w:val="center"/>
        <w:pStyle w:val="Normal"/>
        <w:spacing w:line="240" w:lineRule="auto"/>
        <w:keepNext/>
      </w:pPr>
      <w:r>
        <w:rPr>
          <w:sz w:val="28"/>
          <w:rFonts w:ascii="Times New Roman" w:hAnsi="Times New Roman"/>
        </w:rPr>
        <w:t xml:space="preserve">Bilješka 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POSLOVANJA (šifre 61+62+63+64+65+66+67+68)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418.998,38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466.514,90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111,3</w:t>
            </w:r>
          </w:p>
        </w:tc>
      </w:tr>
    </w:tbl>
    <w:p>
      <w:pPr>
        <w:spacing w:before="0" w:after="0"/>
      </w:pPr>
    </w:p>
    <w:p>
      <w:r>
        <w:t xml:space="preserve">Povećanje prihoda u iznosu 11,3% u odnosu na prethodno razdoblje odnosi se na povećanje bruto osnovice za obračun plaće, povećanje iznosa mjesečne naknade za nezapošljavanje invalida, te porasta tržišnih cjena koje terete redovno poslovanje škole.</w:t>
      </w:r>
    </w:p>
    <w:p/>
    <w:p>
      <w:pPr>
        <w:jc w:val="center"/>
        <w:pStyle w:val="Normal"/>
        <w:spacing w:line="240" w:lineRule="auto"/>
        <w:keepNext/>
      </w:pPr>
      <w:r>
        <w:rPr>
          <w:sz w:val="28"/>
          <w:rFonts w:ascii="Times New Roman" w:hAnsi="Times New Roman"/>
        </w:rPr>
        <w:t xml:space="preserve">Bilješka 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Tekuće pomoći proračunskim korisnicima iz proračuna koji im nije nadležan</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6361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388.215,13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427.269,83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110,1</w:t>
            </w:r>
          </w:p>
        </w:tc>
      </w:tr>
    </w:tbl>
    <w:p>
      <w:pPr>
        <w:spacing w:before="0" w:after="0"/>
      </w:pPr>
    </w:p>
    <w:p>
      <w:r>
        <w:t xml:space="preserve">Prihod se odnosi na doznake MZOMa za plaće, materijalna prava, ŽSV, sredstva za nabavu psihodijagnostičkih testova i slično.</w:t>
      </w:r>
    </w:p>
    <w:p/>
    <w:p>
      <w:pPr>
        <w:jc w:val="center"/>
        <w:pStyle w:val="Normal"/>
        <w:spacing w:line="240" w:lineRule="auto"/>
        <w:keepNext/>
      </w:pPr>
      <w:r>
        <w:rPr>
          <w:sz w:val="28"/>
          <w:rFonts w:ascii="Times New Roman" w:hAnsi="Times New Roman"/>
        </w:rPr>
        <w:t xml:space="preserve">Bilješka 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imovine (šifre 641+642+643)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6,2</w:t>
            </w:r>
          </w:p>
        </w:tc>
      </w:tr>
    </w:tbl>
    <w:p>
      <w:pPr>
        <w:spacing w:before="0" w:after="0"/>
      </w:pPr>
    </w:p>
    <w:p>
      <w:r>
        <w:t xml:space="preserve">Gimnazija je zatvorila poslovni račun u veljači 2026. godine, te prešla na jedinstveni račun riznice, te po prometu računa više ne ostvaruje prihode od kamata.</w:t>
      </w:r>
    </w:p>
    <w:p/>
    <w:p>
      <w:pPr>
        <w:jc w:val="center"/>
        <w:pStyle w:val="Normal"/>
        <w:spacing w:line="240" w:lineRule="auto"/>
        <w:keepNext/>
      </w:pPr>
      <w:r>
        <w:rPr>
          <w:sz w:val="28"/>
          <w:rFonts w:ascii="Times New Roman" w:hAnsi="Times New Roman"/>
        </w:rPr>
        <w:t xml:space="preserve">Bilješka 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prihodi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6526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1.383,50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1.230,00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88,9</w:t>
            </w:r>
          </w:p>
        </w:tc>
      </w:tr>
    </w:tbl>
    <w:p>
      <w:pPr>
        <w:spacing w:before="0" w:after="0"/>
      </w:pPr>
    </w:p>
    <w:p>
      <w:r>
        <w:t xml:space="preserve">Prihodi se odnose na namjenske prihode za provođenje terenske odnosno vanučionične nastave.</w:t>
      </w:r>
    </w:p>
    <w:p/>
    <w:p>
      <w:pPr>
        <w:jc w:val="center"/>
        <w:pStyle w:val="Normal"/>
        <w:spacing w:line="240" w:lineRule="auto"/>
        <w:keepNext/>
      </w:pPr>
      <w:r>
        <w:rPr>
          <w:sz w:val="28"/>
          <w:rFonts w:ascii="Times New Roman" w:hAnsi="Times New Roman"/>
        </w:rPr>
        <w:t xml:space="preserve">Bilješka 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proizvoda i robe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Gimnazija je osnovala učeničku likovnu zadrugu, te bilježi prihode po prodanim rukotvorinama. Prihodi će biti strogo namjenski trošeni za materijale potrebne za rad likovne zadruge.</w:t>
      </w:r>
    </w:p>
    <w:p/>
    <w:p>
      <w:pPr>
        <w:jc w:val="center"/>
        <w:pStyle w:val="Normal"/>
        <w:spacing w:line="240" w:lineRule="auto"/>
        <w:keepNext/>
      </w:pPr>
      <w:r>
        <w:rPr>
          <w:sz w:val="28"/>
          <w:rFonts w:ascii="Times New Roman" w:hAnsi="Times New Roman"/>
        </w:rPr>
        <w:t xml:space="preserve">Bilješka 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pruženih usluga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6615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597,25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1.134,77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190,0</w:t>
            </w:r>
          </w:p>
        </w:tc>
      </w:tr>
    </w:tbl>
    <w:p>
      <w:pPr>
        <w:spacing w:before="0" w:after="0"/>
      </w:pPr>
    </w:p>
    <w:p>
      <w:r>
        <w:t xml:space="preserve">Gimnazija je po isteku ugovora s dobavljačem, sklopila ugovor s novim dobavljačem, koji je na javnom natječaju poudio povoljnije uvjete, stoga biljeim porast prihoda po pruženim uslugama.</w:t>
      </w:r>
    </w:p>
    <w:p/>
    <w:p>
      <w:pPr>
        <w:jc w:val="center"/>
        <w:pStyle w:val="Normal"/>
        <w:spacing w:line="240" w:lineRule="auto"/>
        <w:keepNext/>
      </w:pPr>
      <w:r>
        <w:rPr>
          <w:sz w:val="28"/>
          <w:rFonts w:ascii="Times New Roman" w:hAnsi="Times New Roman"/>
        </w:rPr>
        <w:t xml:space="preserve">Bilješka 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za financiranje rashoda poslovanja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26.729,83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36.775,09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137,6</w:t>
            </w:r>
          </w:p>
        </w:tc>
      </w:tr>
    </w:tbl>
    <w:p>
      <w:pPr>
        <w:spacing w:before="0" w:after="0"/>
      </w:pPr>
    </w:p>
    <w:p>
      <w:r>
        <w:t xml:space="preserve">S obzirom na porast cijena i doznake osnivača po ostvarenim troškovima su veće. Taođer sukladno novom Pravilniku o proračunskom računovodstvu. u siječnju 2026. godine uplaćen je iznos za režijske troškove (tzv metodološki manjak) koji terete prosinac 2025. godine.</w:t>
      </w:r>
    </w:p>
    <w:p/>
    <w:p>
      <w:pPr>
        <w:jc w:val="center"/>
        <w:pStyle w:val="Normal"/>
        <w:spacing w:line="240" w:lineRule="auto"/>
        <w:keepNext/>
      </w:pPr>
      <w:r>
        <w:rPr>
          <w:sz w:val="28"/>
          <w:rFonts w:ascii="Times New Roman" w:hAnsi="Times New Roman"/>
        </w:rPr>
        <w:t xml:space="preserve">Bilješka 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iz nadležnog proračuna za financiranje rashoda za nabavu nefinancijske imovine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6712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2.026,31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Uizvještajnm razdoblju nije bilo potrebe za nabavom nefinancijske imovine, samim time nije ni ostavren prihod po toj osnovi.</w:t>
      </w:r>
    </w:p>
    <w:p/>
    <w:p>
      <w:pPr>
        <w:jc w:val="center"/>
        <w:pStyle w:val="Normal"/>
        <w:spacing w:line="240" w:lineRule="auto"/>
        <w:keepNext/>
      </w:pPr>
      <w:r>
        <w:rPr>
          <w:sz w:val="28"/>
          <w:rFonts w:ascii="Times New Roman" w:hAnsi="Times New Roman"/>
        </w:rPr>
        <w:t xml:space="preserve">Bilješka 10.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Plaće za prekovremeni rad</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3113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10.146,65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6.837,80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67,4</w:t>
            </w:r>
          </w:p>
        </w:tc>
      </w:tr>
    </w:tbl>
    <w:p>
      <w:pPr>
        <w:spacing w:before="0" w:after="0"/>
      </w:pPr>
    </w:p>
    <w:p>
      <w:r>
        <w:t xml:space="preserve">U odnosu na prethodno izvještajno razdoblje ostvareno je manje bolovanja djelatnika, stoga nije bilo potreba za zamjenama odnosno prekovremenim radom djelatnika.</w:t>
      </w:r>
    </w:p>
    <w:p/>
    <w:p>
      <w:pPr>
        <w:jc w:val="center"/>
        <w:pStyle w:val="Normal"/>
        <w:spacing w:line="240" w:lineRule="auto"/>
        <w:keepNext/>
      </w:pPr>
      <w:r>
        <w:rPr>
          <w:sz w:val="28"/>
          <w:rFonts w:ascii="Times New Roman" w:hAnsi="Times New Roman"/>
        </w:rPr>
        <w:t xml:space="preserve">Bilješka 11.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rashodi za zaposlene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9.500,00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11.222,27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118,1</w:t>
            </w:r>
          </w:p>
        </w:tc>
      </w:tr>
    </w:tbl>
    <w:p>
      <w:pPr>
        <w:spacing w:before="0" w:after="0"/>
      </w:pPr>
    </w:p>
    <w:p>
      <w:r>
        <w:t xml:space="preserve">U odnosu na prethodno izvještajno razdoblje u 2026. godni više je djelatnika ostvarilo materijalno pravo isplate jubilarnih nagrada.</w:t>
      </w:r>
    </w:p>
    <w:p/>
    <w:p>
      <w:pPr>
        <w:jc w:val="center"/>
        <w:pStyle w:val="Normal"/>
        <w:spacing w:line="240" w:lineRule="auto"/>
        <w:keepNext/>
      </w:pPr>
      <w:r>
        <w:rPr>
          <w:sz w:val="28"/>
          <w:rFonts w:ascii="Times New Roman" w:hAnsi="Times New Roman"/>
        </w:rPr>
        <w:t xml:space="preserve">Bilješka 12.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Materijalni rashodi (šifre 321+322+323+324+325+329)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47.344,65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51.500,42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108,8</w:t>
            </w:r>
          </w:p>
        </w:tc>
      </w:tr>
    </w:tbl>
    <w:p>
      <w:pPr>
        <w:spacing w:before="0" w:after="0"/>
      </w:pPr>
    </w:p>
    <w:p>
      <w:r>
        <w:t xml:space="preserve">S obzirom na povećanje cijena računalnih usluga, te usluga telefona, zabilježen porast od 8% je zanemariv.</w:t>
      </w:r>
    </w:p>
    <w:p/>
    <w:p>
      <w:pPr>
        <w:jc w:val="center"/>
        <w:pStyle w:val="Normal"/>
        <w:spacing w:line="240" w:lineRule="auto"/>
        <w:keepNext/>
      </w:pPr>
      <w:r>
        <w:rPr>
          <w:sz w:val="28"/>
          <w:rFonts w:ascii="Times New Roman" w:hAnsi="Times New Roman"/>
        </w:rPr>
        <w:t xml:space="preserve">Bilješka 13.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troškova zaposlenima (šifre 3211 do 3214)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14.567,92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12.719,93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87,3</w:t>
            </w:r>
          </w:p>
        </w:tc>
      </w:tr>
    </w:tbl>
    <w:p>
      <w:pPr>
        <w:spacing w:before="0" w:after="0"/>
      </w:pPr>
    </w:p>
    <w:p>
      <w:r>
        <w:t xml:space="preserve">Odnosi se na troškove materijalnih prava djelatnika (jubilarne nagrade, regres i nakrada za uskršnje blagdane).</w:t>
      </w:r>
    </w:p>
    <w:p/>
    <w:p>
      <w:pPr>
        <w:jc w:val="center"/>
        <w:pStyle w:val="Normal"/>
        <w:spacing w:line="240" w:lineRule="auto"/>
        <w:keepNext/>
      </w:pPr>
      <w:r>
        <w:rPr>
          <w:sz w:val="28"/>
          <w:rFonts w:ascii="Times New Roman" w:hAnsi="Times New Roman"/>
        </w:rPr>
        <w:t xml:space="preserve">Bilješka 14.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Službena putovanja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6.225,92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2.586,52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41,5</w:t>
            </w:r>
          </w:p>
        </w:tc>
      </w:tr>
    </w:tbl>
    <w:p>
      <w:pPr>
        <w:spacing w:before="0" w:after="0"/>
      </w:pPr>
    </w:p>
    <w:p>
      <w:r>
        <w:t xml:space="preserve">Djelatnici su u ovom izvještajnom razdoblju ostvarili manje rashoda za službena putovanja zbog pojeftinjenja karte na relaciji Zagreb Rijeka, te su za prijevoz birali last minute karte koje su bile znatno povoljnije.</w:t>
      </w:r>
    </w:p>
    <w:p/>
    <w:p>
      <w:pPr>
        <w:jc w:val="center"/>
        <w:pStyle w:val="Normal"/>
        <w:spacing w:line="240" w:lineRule="auto"/>
        <w:keepNext/>
      </w:pPr>
      <w:r>
        <w:rPr>
          <w:sz w:val="28"/>
          <w:rFonts w:ascii="Times New Roman" w:hAnsi="Times New Roman"/>
        </w:rPr>
        <w:t xml:space="preserve">Bilješka 15.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za prijevoz, za rad na terenu i odvojeni život</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3212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7.765,00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9.579,11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123,4</w:t>
            </w:r>
          </w:p>
        </w:tc>
      </w:tr>
    </w:tbl>
    <w:p>
      <w:pPr>
        <w:spacing w:before="0" w:after="0"/>
      </w:pPr>
    </w:p>
    <w:p>
      <w:r>
        <w:t xml:space="preserve">Odnosi se na troškove prijevoza djelatnika na posao. S obzirom na izmjenu djelatnika, koje su direktno utjecale na adresu stanovanja, samim time i veću udaljenost od radnog mjesta do mjesta stanovanja, veće su cijene mjesečnih karata, te je ostvareno više rashoda isplate prijevoza. Gimnazija bilježi povratak djelatnice s neplaćenog dopusta čiji je prijevoz isplaćen po kilometru.</w:t>
      </w:r>
    </w:p>
    <w:p/>
    <w:p>
      <w:pPr>
        <w:jc w:val="center"/>
        <w:pStyle w:val="Normal"/>
        <w:spacing w:line="240" w:lineRule="auto"/>
        <w:keepNext/>
      </w:pPr>
      <w:r>
        <w:rPr>
          <w:sz w:val="28"/>
          <w:rFonts w:ascii="Times New Roman" w:hAnsi="Times New Roman"/>
        </w:rPr>
        <w:t xml:space="preserve">Bilješka 16.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materijal i energiju (šifre 3221 do 3227)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8.182,31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12.911,47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157,8</w:t>
            </w:r>
          </w:p>
        </w:tc>
      </w:tr>
    </w:tbl>
    <w:p>
      <w:pPr>
        <w:spacing w:before="0" w:after="0"/>
      </w:pPr>
    </w:p>
    <w:p>
      <w:r>
        <w:t xml:space="preserve">Gimnazija ne može utjecati na rast cijena na tržištu.</w:t>
      </w:r>
    </w:p>
    <w:p/>
    <w:p>
      <w:pPr>
        <w:jc w:val="center"/>
        <w:pStyle w:val="Normal"/>
        <w:spacing w:line="240" w:lineRule="auto"/>
        <w:keepNext/>
      </w:pPr>
      <w:r>
        <w:rPr>
          <w:sz w:val="28"/>
          <w:rFonts w:ascii="Times New Roman" w:hAnsi="Times New Roman"/>
        </w:rPr>
        <w:t xml:space="preserve">Bilješka 17.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Uredski materijal i ostali materijalni rashodi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3.249,25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6.093,11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187,5</w:t>
            </w:r>
          </w:p>
        </w:tc>
      </w:tr>
    </w:tbl>
    <w:p>
      <w:pPr>
        <w:spacing w:before="0" w:after="0"/>
      </w:pPr>
    </w:p>
    <w:p>
      <w:r>
        <w:t xml:space="preserve">Nabavljen je veći broj testova u 2026. godini u odnosu na prethodnu godinu. Sredstva su utrošena namjenski sukladno zaprimljenoj Odluci.</w:t>
      </w:r>
    </w:p>
    <w:p/>
    <w:p>
      <w:pPr>
        <w:jc w:val="center"/>
        <w:pStyle w:val="Normal"/>
        <w:spacing w:line="240" w:lineRule="auto"/>
        <w:keepNext/>
      </w:pPr>
      <w:r>
        <w:rPr>
          <w:sz w:val="28"/>
          <w:rFonts w:ascii="Times New Roman" w:hAnsi="Times New Roman"/>
        </w:rPr>
        <w:t xml:space="preserve">Bilješka 18.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Materijal i sirovine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1.097,07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1.552,63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141,5</w:t>
            </w:r>
          </w:p>
        </w:tc>
      </w:tr>
    </w:tbl>
    <w:p>
      <w:pPr>
        <w:spacing w:before="0" w:after="0"/>
      </w:pPr>
    </w:p>
    <w:p>
      <w:r>
        <w:t xml:space="preserve">U tekućem izvještajnom razdoblju zabilježen je porast tržišne cijene namirnica, stoga je i ostvarenje veće.</w:t>
      </w:r>
    </w:p>
    <w:p/>
    <w:p>
      <w:pPr>
        <w:jc w:val="center"/>
        <w:pStyle w:val="Normal"/>
        <w:spacing w:line="240" w:lineRule="auto"/>
        <w:keepNext/>
      </w:pPr>
      <w:r>
        <w:rPr>
          <w:sz w:val="28"/>
          <w:rFonts w:ascii="Times New Roman" w:hAnsi="Times New Roman"/>
        </w:rPr>
        <w:t xml:space="preserve">Bilješka 19.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Energija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3.050,23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4.321,53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141,7</w:t>
            </w:r>
          </w:p>
        </w:tc>
      </w:tr>
    </w:tbl>
    <w:p>
      <w:pPr>
        <w:spacing w:before="0" w:after="0"/>
      </w:pPr>
    </w:p>
    <w:p>
      <w:r>
        <w:t xml:space="preserve">Potrošeno je više energije (klima uređaji) zbog toplinskog vala koji je zabilježen u lipnju 2026. godine, kako bi se nastava i dopunska nastava mogli odvijati u zadovoljavajućim ujetima.</w:t>
      </w:r>
    </w:p>
    <w:p/>
    <w:p>
      <w:pPr>
        <w:jc w:val="center"/>
        <w:pStyle w:val="Normal"/>
        <w:spacing w:line="240" w:lineRule="auto"/>
        <w:keepNext/>
      </w:pPr>
      <w:r>
        <w:rPr>
          <w:sz w:val="28"/>
          <w:rFonts w:ascii="Times New Roman" w:hAnsi="Times New Roman"/>
        </w:rPr>
        <w:t xml:space="preserve">Bilješka 20.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Materijal i dijelovi za tekuće i investicijsko održavanje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290,40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209,63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72,2</w:t>
            </w:r>
          </w:p>
        </w:tc>
      </w:tr>
    </w:tbl>
    <w:p>
      <w:pPr>
        <w:spacing w:before="0" w:after="0"/>
      </w:pPr>
    </w:p>
    <w:p>
      <w:r>
        <w:t xml:space="preserve">Nije bilo potrebe za ovim rashodom u teućem izvještajnom razdoblju.</w:t>
      </w:r>
    </w:p>
    <w:p/>
    <w:p>
      <w:pPr>
        <w:jc w:val="center"/>
        <w:pStyle w:val="Normal"/>
        <w:spacing w:line="240" w:lineRule="auto"/>
        <w:keepNext/>
      </w:pPr>
      <w:r>
        <w:rPr>
          <w:sz w:val="28"/>
          <w:rFonts w:ascii="Times New Roman" w:hAnsi="Times New Roman"/>
        </w:rPr>
        <w:t xml:space="preserve">Bilješka 21.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Sitni inventar i autogume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356,86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494,92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138,7</w:t>
            </w:r>
          </w:p>
        </w:tc>
      </w:tr>
    </w:tbl>
    <w:p>
      <w:pPr>
        <w:spacing w:before="0" w:after="0"/>
      </w:pPr>
    </w:p>
    <w:p>
      <w:r>
        <w:t xml:space="preserve">Nabavljena su nastavna sredstva za provedbu nastave kemije.</w:t>
      </w:r>
    </w:p>
    <w:p/>
    <w:p>
      <w:pPr>
        <w:jc w:val="center"/>
        <w:pStyle w:val="Normal"/>
        <w:spacing w:line="240" w:lineRule="auto"/>
        <w:keepNext/>
      </w:pPr>
      <w:r>
        <w:rPr>
          <w:sz w:val="28"/>
          <w:rFonts w:ascii="Times New Roman" w:hAnsi="Times New Roman"/>
        </w:rPr>
        <w:t xml:space="preserve">Bilješka 22.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Službena, radna i zaštitna odjeća i obuća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138,50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239,65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173,0</w:t>
            </w:r>
          </w:p>
        </w:tc>
      </w:tr>
    </w:tbl>
    <w:p>
      <w:pPr>
        <w:spacing w:before="0" w:after="0"/>
      </w:pPr>
    </w:p>
    <w:p>
      <w:r>
        <w:t xml:space="preserve">Nabavljena je službena obuća za dvije spremačice.</w:t>
      </w:r>
    </w:p>
    <w:p/>
    <w:p>
      <w:pPr>
        <w:jc w:val="center"/>
        <w:pStyle w:val="Normal"/>
        <w:spacing w:line="240" w:lineRule="auto"/>
        <w:keepNext/>
      </w:pPr>
      <w:r>
        <w:rPr>
          <w:sz w:val="28"/>
          <w:rFonts w:ascii="Times New Roman" w:hAnsi="Times New Roman"/>
        </w:rPr>
        <w:t xml:space="preserve">Bilješka 23.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telefona, interneta, pošte i prijevoza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2.229,19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3.496,10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156,8</w:t>
            </w:r>
          </w:p>
        </w:tc>
      </w:tr>
    </w:tbl>
    <w:p>
      <w:pPr>
        <w:spacing w:before="0" w:after="0"/>
      </w:pPr>
    </w:p>
    <w:p>
      <w:r>
        <w:t xml:space="preserve">Povećanje se odnosi na uslugu prijevoza u Zagreb, radi se o programu za darovite, te se putoalo na učeničku debatu u HNB, integriranoj nastavi s Klasičnom gmnazijom u Zagrebu, te posjet MONETERi.</w:t>
      </w:r>
    </w:p>
    <w:p/>
    <w:p>
      <w:pPr>
        <w:jc w:val="center"/>
        <w:pStyle w:val="Normal"/>
        <w:spacing w:line="240" w:lineRule="auto"/>
        <w:keepNext/>
      </w:pPr>
      <w:r>
        <w:rPr>
          <w:sz w:val="28"/>
          <w:rFonts w:ascii="Times New Roman" w:hAnsi="Times New Roman"/>
        </w:rPr>
        <w:t xml:space="preserve">Bilješka 24.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tekućeg i investicijskog održavanja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6.113,63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2.787,50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45,6</w:t>
            </w:r>
          </w:p>
        </w:tc>
      </w:tr>
    </w:tbl>
    <w:p>
      <w:pPr>
        <w:spacing w:before="0" w:after="0"/>
      </w:pPr>
    </w:p>
    <w:p>
      <w:r>
        <w:t xml:space="preserve">U izvještajnom razdoblju nije bilo potrebe za uslugama održavanja u mjeri koje je to iziskivalo prethodno izvještajno razdoblje.</w:t>
      </w:r>
    </w:p>
    <w:p/>
    <w:p>
      <w:pPr>
        <w:jc w:val="center"/>
        <w:pStyle w:val="Normal"/>
        <w:spacing w:line="240" w:lineRule="auto"/>
        <w:keepNext/>
      </w:pPr>
      <w:r>
        <w:rPr>
          <w:sz w:val="28"/>
          <w:rFonts w:ascii="Times New Roman" w:hAnsi="Times New Roman"/>
        </w:rPr>
        <w:t xml:space="preserve">Bilješka 25.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Usluge promidžbe i informiranja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5.775,00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U tekućem razdoblju Gimnazija je ostvarila značane troškove za promidžbu i informiranje zbog otvaranja novog smjera Diplomatske gimnazije, te su sredstav uložena u kampanju i vizuale, no Gimnazija je provela i izbor ravnatelja stoga su značajni troškovi ostvareni i zbog objave natječaja u NN, koje je u odnosu na prethodni izbor (prije 5 godin) poskupila trostruko, na što Gimnazija nije mogla imati utjecaj.</w:t>
      </w:r>
    </w:p>
    <w:p/>
    <w:p>
      <w:pPr>
        <w:jc w:val="center"/>
        <w:pStyle w:val="Normal"/>
        <w:spacing w:line="240" w:lineRule="auto"/>
        <w:keepNext/>
      </w:pPr>
      <w:r>
        <w:rPr>
          <w:sz w:val="28"/>
          <w:rFonts w:ascii="Times New Roman" w:hAnsi="Times New Roman"/>
        </w:rPr>
        <w:t xml:space="preserve">Bilješka 26.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Zakupnine i najamnine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2.520,00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3.585,00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142,3</w:t>
            </w:r>
          </w:p>
        </w:tc>
      </w:tr>
    </w:tbl>
    <w:p>
      <w:pPr>
        <w:spacing w:before="0" w:after="0"/>
      </w:pPr>
    </w:p>
    <w:p>
      <w:r>
        <w:t xml:space="preserve">Uz redovan zakup dvorane za izvođenje nastave tjelesne i zdravstvene kulture, plaćen je i najam prostora za svečanu podjelu diploma maturantima. Također više se koristila dvorana zbog potrebnih priprema za natjecane ŠSD u badmintonu, odbojci, te rukometu.</w:t>
      </w:r>
    </w:p>
    <w:p/>
    <w:p>
      <w:pPr>
        <w:jc w:val="center"/>
        <w:pStyle w:val="Normal"/>
        <w:spacing w:line="240" w:lineRule="auto"/>
        <w:keepNext/>
      </w:pPr>
      <w:r>
        <w:rPr>
          <w:sz w:val="28"/>
          <w:rFonts w:ascii="Times New Roman" w:hAnsi="Times New Roman"/>
        </w:rPr>
        <w:t xml:space="preserve">Bilješka 27.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Zdravstvene i veterinarske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172,25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520,00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301,9</w:t>
            </w:r>
          </w:p>
        </w:tc>
      </w:tr>
    </w:tbl>
    <w:p>
      <w:pPr>
        <w:spacing w:before="0" w:after="0"/>
      </w:pPr>
    </w:p>
    <w:p>
      <w:r>
        <w:t xml:space="preserve">U tekućem izvještajnom razdoblju više je djelatnika obavilo sistematski pregled.</w:t>
      </w:r>
    </w:p>
    <w:p/>
    <w:p>
      <w:pPr>
        <w:jc w:val="center"/>
        <w:pStyle w:val="Normal"/>
        <w:spacing w:line="240" w:lineRule="auto"/>
        <w:keepNext/>
      </w:pPr>
      <w:r>
        <w:rPr>
          <w:sz w:val="28"/>
          <w:rFonts w:ascii="Times New Roman" w:hAnsi="Times New Roman"/>
        </w:rPr>
        <w:t xml:space="preserve">Bilješka 28.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Intelektualne i osobne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4.426,52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819,42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18,5</w:t>
            </w:r>
          </w:p>
        </w:tc>
      </w:tr>
    </w:tbl>
    <w:p>
      <w:pPr>
        <w:spacing w:before="0" w:after="0"/>
      </w:pPr>
    </w:p>
    <w:p>
      <w:r>
        <w:t xml:space="preserve">Nije bilo potrebe za vanjskim suradnicima u ovom izvještajnom razdoblju jer je Gimnazija imala redovno zaposlenog vjeroučitelja, što prethodne godine nje bio slučaj. Iznos ugovora o djelu odnosi se na ŽSV nastave filozofije i troškova stručnih predavača po izboru voditeljice ŽSVa.</w:t>
      </w:r>
    </w:p>
    <w:p/>
    <w:p>
      <w:pPr>
        <w:jc w:val="center"/>
        <w:pStyle w:val="Normal"/>
        <w:spacing w:line="240" w:lineRule="auto"/>
        <w:keepNext/>
      </w:pPr>
      <w:r>
        <w:rPr>
          <w:sz w:val="28"/>
          <w:rFonts w:ascii="Times New Roman" w:hAnsi="Times New Roman"/>
        </w:rPr>
        <w:t xml:space="preserve">Bilješka 29.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Računalne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1.701,01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2.020,86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118,8</w:t>
            </w:r>
          </w:p>
        </w:tc>
      </w:tr>
    </w:tbl>
    <w:p>
      <w:pPr>
        <w:spacing w:before="0" w:after="0"/>
      </w:pPr>
    </w:p>
    <w:p>
      <w:r>
        <w:t xml:space="preserve">Povećanje u odnosu na prethodno izvještajno razdoblje odnosi se na tvrtki INFO mare koja je kvartalni iznos usluga sa prethodnih 450,00 eura povećala na 510,00 eura. Infomare je pružatelj platforme riznica koja je osnovni računovodstveni progam Osnivača, a sami time i korisnika.</w:t>
      </w:r>
    </w:p>
    <w:p/>
    <w:p>
      <w:pPr>
        <w:jc w:val="center"/>
        <w:pStyle w:val="Normal"/>
        <w:spacing w:line="240" w:lineRule="auto"/>
        <w:keepNext/>
      </w:pPr>
      <w:r>
        <w:rPr>
          <w:sz w:val="28"/>
          <w:rFonts w:ascii="Times New Roman" w:hAnsi="Times New Roman"/>
        </w:rPr>
        <w:t xml:space="preserve">Bilješka 30.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Ostale usluge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3239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2.130,64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1.782,05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83,6</w:t>
            </w:r>
          </w:p>
        </w:tc>
      </w:tr>
    </w:tbl>
    <w:p>
      <w:pPr>
        <w:spacing w:before="0" w:after="0"/>
      </w:pPr>
    </w:p>
    <w:p>
      <w:r>
        <w:t xml:space="preserve">Nije bilo potrebe za ostalim uslugama u razmjeru u kojem je to zahtjevalo prethodno razdoblje.</w:t>
      </w:r>
    </w:p>
    <w:p/>
    <w:p>
      <w:pPr>
        <w:jc w:val="center"/>
        <w:pStyle w:val="Normal"/>
        <w:spacing w:line="240" w:lineRule="auto"/>
        <w:keepNext/>
      </w:pPr>
      <w:r>
        <w:rPr>
          <w:sz w:val="28"/>
          <w:rFonts w:ascii="Times New Roman" w:hAnsi="Times New Roman"/>
        </w:rPr>
        <w:t xml:space="preserve">Bilješka 31.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rashodi poslovanja (šifre 3291 do 3299)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2.280,16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1.882,18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82,5</w:t>
            </w:r>
          </w:p>
        </w:tc>
      </w:tr>
    </w:tbl>
    <w:p>
      <w:pPr>
        <w:spacing w:before="0" w:after="0"/>
      </w:pPr>
    </w:p>
    <w:p>
      <w:r>
        <w:t xml:space="preserve">Sukladno Odluci Osnivača sniženi su troškovi za naknade prosudbenom povjerenstvu za županijsko natjecane. Rashodi su racionalizirani i provedeni u skaldu s uputom.</w:t>
      </w:r>
    </w:p>
    <w:p/>
    <w:p>
      <w:pPr>
        <w:jc w:val="center"/>
        <w:pStyle w:val="Normal"/>
        <w:spacing w:line="240" w:lineRule="auto"/>
        <w:keepNext/>
      </w:pPr>
      <w:r>
        <w:rPr>
          <w:sz w:val="28"/>
          <w:rFonts w:ascii="Times New Roman" w:hAnsi="Times New Roman"/>
        </w:rPr>
        <w:t xml:space="preserve">Bilješka 32.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Naknade za rad predstavničkih i izvršnih tijela, povjerenstava i slično</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450,06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333,18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74,0</w:t>
            </w:r>
          </w:p>
        </w:tc>
      </w:tr>
    </w:tbl>
    <w:p>
      <w:pPr>
        <w:spacing w:before="0" w:after="0"/>
      </w:pPr>
    </w:p>
    <w:p>
      <w:r>
        <w:t xml:space="preserve">Sukladno Odluci Osnivača sniženi su troškovi za naknade prosudbenom povjerenstvu za županijsko natjecane. Rashodi su racionalizirani i provedeni u skaldu s uputom.</w:t>
      </w:r>
    </w:p>
    <w:p/>
    <w:p>
      <w:pPr>
        <w:jc w:val="center"/>
        <w:pStyle w:val="Normal"/>
        <w:spacing w:line="240" w:lineRule="auto"/>
        <w:keepNext/>
      </w:pPr>
      <w:r>
        <w:rPr>
          <w:sz w:val="28"/>
          <w:rFonts w:ascii="Times New Roman" w:hAnsi="Times New Roman"/>
        </w:rPr>
        <w:t xml:space="preserve">Bilješka 33.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Reprezentacija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504,15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Nij bilo potrebe za troškovima reprezentacije u ovom izvještajnm razdoblju.</w:t>
      </w:r>
    </w:p>
    <w:p/>
    <w:p>
      <w:pPr>
        <w:jc w:val="center"/>
        <w:pStyle w:val="Normal"/>
        <w:spacing w:line="240" w:lineRule="auto"/>
        <w:keepNext/>
      </w:pPr>
      <w:r>
        <w:rPr>
          <w:sz w:val="28"/>
          <w:rFonts w:ascii="Times New Roman" w:hAnsi="Times New Roman"/>
        </w:rPr>
        <w:t xml:space="preserve">Bilješka 34.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Članarine i norme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65,00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Fakture za redovne članarine u prethodnom izvještajnom razdoblju stigle su u drugoj polovici godine. U tekućem razdoblju teretile su prvu polovicu poslovne godine.</w:t>
      </w:r>
    </w:p>
    <w:p/>
    <w:p>
      <w:pPr>
        <w:jc w:val="center"/>
        <w:pStyle w:val="Normal"/>
        <w:spacing w:line="240" w:lineRule="auto"/>
        <w:keepNext/>
      </w:pPr>
      <w:r>
        <w:rPr>
          <w:sz w:val="28"/>
          <w:rFonts w:ascii="Times New Roman" w:hAnsi="Times New Roman"/>
        </w:rPr>
        <w:t xml:space="preserve">Bilješka 35.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Pristojbe i naknade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1.138,00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1.260,00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110,7</w:t>
            </w:r>
          </w:p>
        </w:tc>
      </w:tr>
    </w:tbl>
    <w:p>
      <w:pPr>
        <w:spacing w:before="0" w:after="0"/>
      </w:pPr>
    </w:p>
    <w:p>
      <w:r>
        <w:t xml:space="preserve">Radi se o naknadama za nezapošljavanje invalida koju Gimnazija ima obvezu uplaćivati uz obračun plaće, računa se sukladno minimalnoj bruto plaći na što Gimnazija nema utjecaj.</w:t>
      </w:r>
    </w:p>
    <w:p/>
    <w:p>
      <w:pPr>
        <w:jc w:val="center"/>
        <w:pStyle w:val="Normal"/>
        <w:spacing w:line="240" w:lineRule="auto"/>
        <w:keepNext/>
      </w:pPr>
      <w:r>
        <w:rPr>
          <w:sz w:val="28"/>
          <w:rFonts w:ascii="Times New Roman" w:hAnsi="Times New Roman"/>
        </w:rPr>
        <w:t xml:space="preserve">Bilješka 36.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nespomenuti rashodi poslovanja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3299</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187,95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224,00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119,2</w:t>
            </w:r>
          </w:p>
        </w:tc>
      </w:tr>
    </w:tbl>
    <w:p>
      <w:pPr>
        <w:spacing w:before="0" w:after="0"/>
      </w:pPr>
    </w:p>
    <w:p>
      <w:r>
        <w:t xml:space="preserve">Porast u tekućem izvještajnom razdoblju zabilježen je zbog osvarenih rashoda protokola, koji su prošle godine teretili drugu polovicu poslovne godine.</w:t>
      </w:r>
    </w:p>
    <w:p/>
    <w:p>
      <w:pPr>
        <w:jc w:val="center"/>
        <w:pStyle w:val="Normal"/>
        <w:spacing w:line="240" w:lineRule="auto"/>
        <w:keepNext/>
      </w:pPr>
      <w:r>
        <w:rPr>
          <w:sz w:val="28"/>
          <w:rFonts w:ascii="Times New Roman" w:hAnsi="Times New Roman"/>
        </w:rPr>
        <w:t xml:space="preserve">Bilješka 37.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Financijski rashodi (šifre 341+342+343)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58,92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70,4</w:t>
            </w:r>
          </w:p>
        </w:tc>
      </w:tr>
    </w:tbl>
    <w:p>
      <w:pPr>
        <w:spacing w:before="0" w:after="0"/>
      </w:pPr>
    </w:p>
    <w:p>
      <w:r>
        <w:t xml:space="preserve">Gimnazija je u veljači zatvorila poslovni račun, te prešla na jedinstveni sustav županijske riznice.</w:t>
      </w:r>
    </w:p>
    <w:p/>
    <w:p>
      <w:pPr>
        <w:jc w:val="center"/>
        <w:pStyle w:val="Normal"/>
        <w:spacing w:line="240" w:lineRule="auto"/>
        <w:keepNext/>
      </w:pPr>
      <w:r>
        <w:rPr>
          <w:sz w:val="28"/>
          <w:rFonts w:ascii="Times New Roman" w:hAnsi="Times New Roman"/>
        </w:rPr>
        <w:t xml:space="preserve">Bilješka 38.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Ostali financijski rashodi (šifre 3431 do 3434)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58,92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70,4</w:t>
            </w:r>
          </w:p>
        </w:tc>
      </w:tr>
    </w:tbl>
    <w:p>
      <w:pPr>
        <w:spacing w:before="0" w:after="0"/>
      </w:pPr>
    </w:p>
    <w:p>
      <w:r>
        <w:t xml:space="preserve">Gimnazija je u veljači zatvorila poslovni račun, te prešla na jedinstveni sustav županijske riznice.</w:t>
      </w:r>
    </w:p>
    <w:p/>
    <w:p>
      <w:pPr>
        <w:jc w:val="center"/>
        <w:pStyle w:val="Normal"/>
        <w:spacing w:line="240" w:lineRule="auto"/>
        <w:keepNext/>
      </w:pPr>
      <w:r>
        <w:rPr>
          <w:sz w:val="28"/>
          <w:rFonts w:ascii="Times New Roman" w:hAnsi="Times New Roman"/>
        </w:rPr>
        <w:t xml:space="preserve">Bilješka 39.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Bankarske usluge i usluge platnog prometa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3431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56,84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41,46</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72,9</w:t>
            </w:r>
          </w:p>
        </w:tc>
      </w:tr>
    </w:tbl>
    <w:p>
      <w:pPr>
        <w:spacing w:before="0" w:after="0"/>
      </w:pPr>
    </w:p>
    <w:p>
      <w:r>
        <w:t xml:space="preserve">Gimnazija je u veljači zatvorila poslovni račun, te prešla na jedinstveni sustav županijske riznice.</w:t>
      </w:r>
    </w:p>
    <w:p/>
    <w:p>
      <w:pPr>
        <w:jc w:val="center"/>
        <w:pStyle w:val="Normal"/>
        <w:spacing w:line="240" w:lineRule="auto"/>
        <w:keepNext/>
      </w:pPr>
      <w:r>
        <w:rPr>
          <w:sz w:val="28"/>
          <w:rFonts w:ascii="Times New Roman" w:hAnsi="Times New Roman"/>
        </w:rPr>
        <w:t xml:space="preserve">Bilješka 40.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donacije, kazne, naknade šteta i kapitalne pomoći (šifre 381+382+383+386)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526,50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472,50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89,7</w:t>
            </w:r>
          </w:p>
        </w:tc>
      </w:tr>
    </w:tbl>
    <w:p>
      <w:pPr>
        <w:spacing w:before="0" w:after="0"/>
      </w:pPr>
    </w:p>
    <w:p>
      <w:r>
        <w:t xml:space="preserve">Radi se  o nabavi higijenskih uložaka, Gimnazija nema utjecaj na iznos, već namjenski troši sredstva zaprimljena sukladno Odluci.</w:t>
      </w:r>
    </w:p>
    <w:p/>
    <w:p>
      <w:pPr>
        <w:jc w:val="center"/>
        <w:pStyle w:val="Normal"/>
        <w:spacing w:line="240" w:lineRule="auto"/>
        <w:keepNext/>
      </w:pPr>
      <w:r>
        <w:rPr>
          <w:sz w:val="28"/>
          <w:rFonts w:ascii="Times New Roman" w:hAnsi="Times New Roman"/>
        </w:rPr>
        <w:t xml:space="preserve">Bilješka 41.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POSLOVANJA (šifre Z005-6)</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Y001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70.406,04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5.664,82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8,0</w:t>
            </w:r>
          </w:p>
        </w:tc>
      </w:tr>
    </w:tbl>
    <w:p>
      <w:pPr>
        <w:spacing w:before="0" w:after="0"/>
      </w:pPr>
    </w:p>
    <w:p>
      <w:r>
        <w:t xml:space="preserve">S obzirom da se prema novom pravilniku o računovodstvu trošak knjiži na zadji dan tekućeg izvještaja, a konto 193 je ukinut, trošak plaće za 12.2025. godine prikazan je u prethodnom razdoblju, prvi knjiženi trošak u tekućem razdoblju jest plaća za siječanj 2026., a u siječnju 2026. godine zabilježen je i prihod za plaću 12-2025. godine, što u prethodnom razdoblju nije bio slučaj. Naime u prethodnom razdoblju trošak plaće za prosinac 2024. godine bio je knjižen u sječnju 2025. godine.</w:t>
      </w:r>
    </w:p>
    <w:p/>
    <w:p>
      <w:pPr>
        <w:jc w:val="center"/>
        <w:pStyle w:val="Normal"/>
        <w:spacing w:line="240" w:lineRule="auto"/>
        <w:keepNext/>
      </w:pPr>
      <w:r>
        <w:rPr>
          <w:sz w:val="28"/>
          <w:rFonts w:ascii="Times New Roman" w:hAnsi="Times New Roman"/>
        </w:rPr>
        <w:t xml:space="preserve">Bilješka 42.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92221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poslovanja - preneseni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92221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76.362,34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Odnosi se na preneseni manjak prethodnog razdoblja sačinjen od troškova plaće djelatnika za prosinac 2025., te režijskih troškova odnosno metodološkog manjka. Manjak je podmiren doznakom MZOMa i Osnivača u siječnju 2026. godine.</w:t>
      </w:r>
    </w:p>
    <w:p/>
    <w:p>
      <w:pPr>
        <w:jc w:val="center"/>
        <w:pStyle w:val="Normal"/>
        <w:spacing w:line="240" w:lineRule="auto"/>
        <w:keepNext/>
      </w:pPr>
      <w:r>
        <w:rPr>
          <w:sz w:val="28"/>
          <w:rFonts w:ascii="Times New Roman" w:hAnsi="Times New Roman"/>
        </w:rPr>
        <w:t xml:space="preserve">Bilješka 43.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9661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Prihodi od prodaje proizvoda i robe i pruženih usluga - nenaplaćeni</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119,45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321,00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268,7</w:t>
            </w:r>
          </w:p>
        </w:tc>
      </w:tr>
    </w:tbl>
    <w:p>
      <w:pPr>
        <w:spacing w:before="0" w:after="0"/>
      </w:pPr>
    </w:p>
    <w:p>
      <w:r>
        <w:t xml:space="preserve">Radi se o nenaplaćenoj fakturi za lipanj 2026. godine najma prostora. Po isteku ugovora sklopljen je novi ugovor s novim dobavljačem.</w:t>
      </w:r>
    </w:p>
    <w:p/>
    <w:p>
      <w:pPr>
        <w:jc w:val="center"/>
        <w:pStyle w:val="Normal"/>
        <w:spacing w:line="240" w:lineRule="auto"/>
        <w:keepNext/>
      </w:pPr>
      <w:r>
        <w:rPr>
          <w:sz w:val="28"/>
          <w:rFonts w:ascii="Times New Roman" w:hAnsi="Times New Roman"/>
        </w:rPr>
        <w:t xml:space="preserve">Bilješka 44.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Rashodi za nabavu nefinancijske imovine (šifre 41+42+43+44+45)</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4.616,61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Nije bilo potrebe za nabavom imovine u tekućem izvještajnom razdoblju.</w:t>
      </w:r>
    </w:p>
    <w:p/>
    <w:p>
      <w:pPr>
        <w:jc w:val="center"/>
        <w:pStyle w:val="Normal"/>
        <w:spacing w:line="240" w:lineRule="auto"/>
        <w:keepNext/>
      </w:pPr>
      <w:r>
        <w:rPr>
          <w:sz w:val="28"/>
          <w:rFonts w:ascii="Times New Roman" w:hAnsi="Times New Roman"/>
        </w:rPr>
        <w:t xml:space="preserve">Bilješka 45.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4241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Knjige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4241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43,00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U tekućem razdoblju nisu donirane knjige u knjižnicu.</w:t>
      </w:r>
    </w:p>
    <w:p/>
    <w:p>
      <w:pPr>
        <w:jc w:val="center"/>
        <w:pStyle w:val="Normal"/>
        <w:spacing w:line="240" w:lineRule="auto"/>
        <w:keepNext/>
      </w:pPr>
      <w:r>
        <w:rPr>
          <w:sz w:val="28"/>
          <w:rFonts w:ascii="Times New Roman" w:hAnsi="Times New Roman"/>
        </w:rPr>
        <w:t xml:space="preserve">Bilješka 46.</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MANJAK PRIHODA OD NEFINANCIJSKE IMOVINE (šifre 4-7)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Y002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4.616,61</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w:t>
            </w:r>
          </w:p>
        </w:tc>
      </w:tr>
    </w:tbl>
    <w:p>
      <w:pPr>
        <w:spacing w:before="0" w:after="0"/>
      </w:pPr>
    </w:p>
    <w:p>
      <w:r>
        <w:t xml:space="preserve">Manjak prihoda od financijske imovine nije ostvaren.</w:t>
      </w:r>
    </w:p>
    <w:p/>
    <w:p>
      <w:pPr>
        <w:jc w:val="center"/>
        <w:pStyle w:val="Normal"/>
        <w:spacing w:line="240" w:lineRule="auto"/>
        <w:keepNext/>
      </w:pPr>
      <w:r>
        <w:rPr>
          <w:sz w:val="28"/>
          <w:rFonts w:ascii="Times New Roman" w:hAnsi="Times New Roman"/>
        </w:rPr>
        <w:t xml:space="preserve">Bilješka 47.</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UKUPNI PRIHODI (šifre 6+7)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X067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418.998,38</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466.514,90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111,3</w:t>
            </w:r>
          </w:p>
        </w:tc>
      </w:tr>
    </w:tbl>
    <w:p>
      <w:pPr>
        <w:spacing w:before="0" w:after="0"/>
      </w:pPr>
    </w:p>
    <w:p>
      <w:r>
        <w:t xml:space="preserve">Prethodno objašnjeno.</w:t>
      </w:r>
    </w:p>
    <w:p/>
    <w:p>
      <w:pPr>
        <w:jc w:val="center"/>
        <w:pStyle w:val="Normal"/>
        <w:spacing w:line="240" w:lineRule="auto"/>
        <w:keepNext/>
      </w:pPr>
      <w:r>
        <w:rPr>
          <w:sz w:val="28"/>
          <w:rFonts w:ascii="Times New Roman" w:hAnsi="Times New Roman"/>
        </w:rPr>
        <w:t xml:space="preserve">Bilješka 48.</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UKUPAN MANJAK PRIHODA (šifre Y034-X067)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Y004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75.022,65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5.664,82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7,6</w:t>
            </w:r>
          </w:p>
        </w:tc>
      </w:tr>
    </w:tbl>
    <w:p>
      <w:pPr>
        <w:spacing w:before="0" w:after="0"/>
      </w:pPr>
    </w:p>
    <w:p>
      <w:r>
        <w:t xml:space="preserve">Prethodno obješnjeno.</w:t>
      </w:r>
    </w:p>
    <w:p/>
    <w:p>
      <w:pPr>
        <w:jc w:val="center"/>
        <w:pStyle w:val="Normal"/>
        <w:spacing w:line="240" w:lineRule="auto"/>
        <w:keepNext/>
      </w:pPr>
      <w:r>
        <w:rPr>
          <w:sz w:val="28"/>
          <w:rFonts w:ascii="Times New Roman" w:hAnsi="Times New Roman"/>
        </w:rPr>
        <w:t xml:space="preserve">Bilješka 49.</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96, 97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Obračunati prihodi poslovanja i od prodaje nefinancijske imovine - nenaplaćeni (šifre 96+97)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96,97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61.831,32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82.272,00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133,1</w:t>
            </w:r>
          </w:p>
        </w:tc>
      </w:tr>
    </w:tbl>
    <w:p>
      <w:pPr>
        <w:spacing w:before="0" w:after="0"/>
      </w:pPr>
    </w:p>
    <w:p>
      <w:r>
        <w:t xml:space="preserve">Gimnazija u svojoj evidenciji na dan 30. lipnja 2026. godine ima evidentiranih potraživanja u iznosu 82.272,00 eura (66.419,40 eura plaće za mjesec lipanj 2026. godine, 210,00 eura naknade za nezapošljavanje invalida za mjesec lipanj 2026. godine, 2.500,00 eura potraživanja prema Gradu Opatiji za sredstva osigurana Ugovorom za sufinanciranje programa školskog kurikuluma, 12.821,60 eura uplaćenog predujma po sklopljenom ugovoru za Erasmus+ projekt – Nastavnici u digitalnoj eri Move Minds, po novom Pravilniku o proračunskom računovodstvu proračunski korisnik ih je dužan prikazati na ovaj način, te 321,00 eur potraživanja za najam aparata za grickalice za mjesec lipanj 2026. godine), dok su obveze nedospjele. U predbilanci glavne knjige vode se 88.269,45 eura otvorenih od čega su sve nedospjele obveze (odnose se na obračunate plaće za mjesec lipanj 2026. godine, naknadu za nezapošljavanje invalida za lipanj 2026. godine, ugovore o djela u sklopu ŽSVa nastave filozofije, te redovno poslovanje Gimnazije, tzv. Režijske troškove).</w:t>
      </w:r>
    </w:p>
    <w:p/>
    <w:p>
      <w:pPr>
        <w:jc w:val="center"/>
        <w:pStyle w:val="Normal"/>
        <w:spacing w:line="240" w:lineRule="auto"/>
        <w:keepNext/>
      </w:pPr>
      <w:r>
        <w:rPr>
          <w:sz w:val="28"/>
          <w:rFonts w:ascii="Times New Roman" w:hAnsi="Times New Roman"/>
        </w:rPr>
        <w:t xml:space="preserve">Bilješka 50.</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novčanih sredstava na početku izvještajnog razdoblja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11P</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20.320,84</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7.680,52</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37,8</w:t>
            </w:r>
          </w:p>
        </w:tc>
      </w:tr>
    </w:tbl>
    <w:p>
      <w:pPr>
        <w:spacing w:before="0" w:after="0"/>
      </w:pPr>
    </w:p>
    <w:p>
      <w:r>
        <w:t xml:space="preserve">Gimnazija je zatvorila svoj poslovni račun i prešla na jedinstveni račun riznice.</w:t>
      </w:r>
    </w:p>
    <w:p/>
    <w:p>
      <w:pPr>
        <w:jc w:val="center"/>
        <w:pStyle w:val="Normal"/>
        <w:spacing w:line="240" w:lineRule="auto"/>
        <w:keepNext/>
      </w:pPr>
      <w:r>
        <w:rPr>
          <w:sz w:val="28"/>
          <w:rFonts w:ascii="Times New Roman" w:hAnsi="Times New Roman"/>
        </w:rPr>
        <w:t xml:space="preserve">Bilješka 51.</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prethodne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Ostvareno u izvještajnom razdoblju tekuće godine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Prosječan broj zaposlenih kod korisnika na osnovi stanja na početku i na kraju izvještajnog razdoblja (cijeli broj)</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Z007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32,00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106,7</w:t>
            </w:r>
          </w:p>
        </w:tc>
      </w:tr>
    </w:tbl>
    <w:p>
      <w:pPr>
        <w:spacing w:before="0" w:after="0"/>
      </w:pPr>
    </w:p>
    <w:p>
      <w:r>
        <w:t xml:space="preserve">Zaposlena je operativna djelatnica sukladno Odluci MZOMa.</w:t>
      </w:r>
    </w:p>
    <w:p/>
    <w:p>
      <w:pPr>
        <w:jc w:val="center"/>
        <w:pStyle w:val="Normal"/>
        <w:spacing w:line="240" w:lineRule="auto"/>
        <w:keepNext/>
      </w:pPr>
      <w:r>
        <w:rPr>
          <w:b/>
          <w:sz w:val="28"/>
          <w:rFonts w:ascii="Times New Roman" w:hAnsi="Times New Roman"/>
        </w:rPr>
        <w:t xml:space="preserve">Izvještaj o obvezama</w:t>
      </w:r>
    </w:p>
    <w:p>
      <w:pPr>
        <w:jc w:val="center"/>
        <w:pStyle w:val="Normal"/>
        <w:spacing w:line="240" w:lineRule="auto"/>
        <w:keepNext/>
      </w:pPr>
      <w:r>
        <w:rPr>
          <w:sz w:val="28"/>
          <w:rFonts w:ascii="Times New Roman" w:hAnsi="Times New Roman"/>
        </w:rPr>
        <w:t xml:space="preserve">Bilješka 52.</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Stanje dospjelih obveza na kraju izvještajnog razdoblja (šifre V008+D23+D24 + 'D dio 25,26' + D27)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V007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U izvještajnom razdoblju Gimnazija Eugena Kumičića Opatija nema dospjelih obveza. Stanje nedospjelih obveza na dan 30.6.2026. iznosi 88.269,45 eura, te se odnose na obveze za plaće za lipanj 2026. godine, naknade za nezapošljavanje invalida 6-2026. godine, fakture za redovno poslovanje Gimnazije (režijske troškove), prijevoz djelatnika 6-2026 godine, ugovore o djelu za provedbu ŽSV nastave filozofije, te obveze za EU predujmove dane od subjekata unutar općeg proračuna.</w:t>
      </w:r>
    </w:p>
    <w:p/>
    <w:p>
      <w:pPr>
        <w:jc w:val="center"/>
        <w:pStyle w:val="Normal"/>
        <w:spacing w:line="240" w:lineRule="auto"/>
        <w:keepNext/>
      </w:pPr>
      <w:r>
        <w:rPr>
          <w:sz w:val="28"/>
          <w:rFonts w:ascii="Times New Roman" w:hAnsi="Times New Roman"/>
        </w:rPr>
        <w:t xml:space="preserve">Bilješka 53.</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Međusobne obveze subjekata općeg proračuna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V010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0,00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Izvršeni su svi povrati bolovanja na teret HZZOa.</w:t>
      </w:r>
    </w:p>
    <w:p/>
    <w:p>
      <w:pPr>
        <w:jc w:val="center"/>
        <w:pStyle w:val="Normal"/>
        <w:spacing w:line="240" w:lineRule="auto"/>
        <w:keepNext/>
      </w:pPr>
      <w:r>
        <w:rPr>
          <w:sz w:val="28"/>
          <w:rFonts w:ascii="Times New Roman" w:hAnsi="Times New Roman"/>
        </w:rPr>
        <w:t xml:space="preserve">Bilješka 54.</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23</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rashode poslovanja</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ND23</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75.447,85</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Nedospjele obveze odnose se na obveze za plaću 6-2026., naknadu za nezapošljavanje invalida 6-2026., prijevoz djelatnika 6-2026., ugovori o djelu ŽSV nastava flozofije., te redovno poslovanje Gimnazije do 30.6.2026. godine, a sve s dospijećem u srpnju 2026. godine.</w:t>
      </w:r>
    </w:p>
    <w:p/>
    <w:p>
      <w:pPr>
        <w:jc w:val="center"/>
        <w:pStyle w:val="Normal"/>
        <w:spacing w:line="240" w:lineRule="auto"/>
        <w:keepNext/>
      </w:pPr>
      <w:r>
        <w:rPr>
          <w:sz w:val="28"/>
          <w:rFonts w:ascii="Times New Roman" w:hAnsi="Times New Roman"/>
        </w:rPr>
        <w:t xml:space="preserve">Bilješka 55.</w:t>
      </w:r>
    </w:p>
    <w:tbl>
      <w:tblPr>
        <w:tblBorders>
          <w:top w:val="single" w:color="BABABA" w:sz="12"/>
          <w:bottom w:val="single" w:color="BABABA" w:sz="12"/>
          <w:left w:val="single" w:color="BABABA" w:sz="12"/>
          <w:right w:val="single" w:color="BABABA" w:sz="12"/>
          <w:insideH w:val="single" w:color="BABABA" w:sz="8"/>
          <w:insideV w:val="single" w:color="DADADA" w:sz="8"/>
        </w:tblBorders>
        <w:tblW w:w="9000" w:type="dxa"/>
        <w:tblLayout w:type="fixed"/>
        <w:tblCellMar>
          <w:left w:w="40" w:type="dxa"/>
          <w:right w:w="40" w:type="dxa"/>
        </w:tblCellMar>
      </w:tblPr>
      <w:tblGrid>
        <w:gridCol w:w="700"/>
        <w:gridCol w:w="3180"/>
        <w:gridCol w:w="700"/>
        <w:gridCol w:w="1860"/>
        <w:gridCol w:w="700"/>
      </w:tblGrid>
      <w:tr>
        <w:trPr>
          <w:cantSplit/>
        </w:trPr>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Račun iz rač. plana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Opis stavke</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Šifra</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Iznos</w:t>
            </w:r>
          </w:p>
        </w:tc>
        <w:tc>
          <w:tcPr>
            <w:shd w:val="clear" w:color="auto" w:fill="E7F0F9"/>
            <w:tcMar>
              <w:top w:w="0" w:type="dxa"/>
              <w:bottom w:w="0" w:type="dxa"/>
            </w:tcMar>
            <w:vAlign w:val="center"/>
          </w:tcPr>
          <w:p>
            <w:pPr>
              <w:jc w:val="center"/>
              <w:pStyle w:val="Normal"/>
              <w:spacing w:before="0" w:after="0" w:line="240" w:lineRule="auto"/>
              <w:keepNext/>
              <w:keepLines/>
            </w:pPr>
            <w:r>
              <w:rPr>
                <w:sz w:val="18"/>
                <w:rFonts w:ascii="Times New Roman" w:hAnsi="Times New Roman"/>
                <w:b/>
              </w:rPr>
              <w:t>Indeks (%)</w:t>
            </w:r>
          </w:p>
        </w:tc>
      </w:tr>
      <w:tr>
        <w:trPr>
          <w:trHeight w:val="560" w:hRule="atLeast"/>
          <w:cantSplit/>
        </w:trPr>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27</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Obveze za predujmove, depozite, jamčevne pologe i tuđe prihode</w:t>
            </w:r>
          </w:p>
        </w:tc>
        <w:tc>
          <w:tcPr>
            <w:tcMar>
              <w:top w:w="0" w:type="dxa"/>
              <w:bottom w:w="0" w:type="dxa"/>
            </w:tcMar>
            <w:vAlign w:val="center"/>
          </w:tcPr>
          <w:p>
            <w:pPr>
              <w:jc w:val="left"/>
              <w:pStyle w:val="Normal"/>
              <w:spacing w:before="0" w:after="0" w:line="240" w:lineRule="auto"/>
              <w:keepNext/>
              <w:keepLines/>
            </w:pPr>
            <w:r>
              <w:rPr>
                <w:sz w:val="18"/>
                <w:rFonts w:ascii="Times New Roman" w:hAnsi="Times New Roman"/>
              </w:rPr>
              <w:t>ND27</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12.821,60</w:t>
            </w:r>
          </w:p>
        </w:tc>
        <w:tc>
          <w:tcPr>
            <w:tcMar>
              <w:top w:w="0" w:type="dxa"/>
              <w:bottom w:w="0" w:type="dxa"/>
            </w:tcMar>
            <w:vAlign w:val="center"/>
          </w:tcPr>
          <w:p>
            <w:pPr>
              <w:jc w:val="right"/>
              <w:pStyle w:val="Normal"/>
              <w:spacing w:before="0" w:after="0" w:line="240" w:lineRule="auto"/>
              <w:keepNext/>
              <w:keepLines/>
            </w:pPr>
            <w:r>
              <w:rPr>
                <w:sz w:val="18"/>
                <w:rFonts w:ascii="Times New Roman" w:hAnsi="Times New Roman"/>
              </w:rPr>
              <w:t>-</w:t>
            </w:r>
          </w:p>
        </w:tc>
      </w:tr>
    </w:tbl>
    <w:p>
      <w:pPr>
        <w:spacing w:before="0" w:after="0"/>
      </w:pPr>
    </w:p>
    <w:p>
      <w:r>
        <w:t xml:space="preserve">Obveze se odnose na zaprimljene predujmove za Erasmus+. Program je aktivan do 31.8.2026.</w:t>
      </w:r>
    </w:p>
    <w:p/>
    <w:p>
      <w:pPr>
        <w:jc w:val="center"/>
        <w:pStyle w:val="Normal"/>
        <w:spacing w:line="240" w:lineRule="auto"/>
        <w:keepNext/>
      </w:pPr>
      <w:r>
        <w:rPr>
          <w:sz w:val="28"/>
          <w:rFonts w:ascii="Times New Roman" w:hAnsi="Times New Roman"/>
        </w:rPr>
        <w:t xml:space="preserve">Bilješka 56.</w:t>
      </w:r>
    </w:p>
    <w:p>
      <w:pPr>
        <w:jc w:val="both"/>
        <w:pStyle w:val="Normal"/>
        <w:spacing w:line="240" w:lineRule="auto"/>
      </w:pPr>
      <w:r>
        <w:rPr>
          <w:b/>
          <w:sz w:val="24"/>
          <w:rFonts w:ascii="Times New Roman" w:hAnsi="Times New Roman"/>
        </w:rPr>
        <w:t xml:space="preserve">EU izvještaj</w:t>
      </w:r>
    </w:p>
    <w:p>
      <w:r>
        <w:t xml:space="preserve">Gimnazija Eugena Kumičića Opatija sudionik je Erasumus+ mobilnosti, MoveMinds nastavnici u digitalnoj eri. Iznos po potpisanom ugovoru iznosi 16.027,00 eura. U 2025. godini doznačeno je 80% sredstava 12.821,60 eura. Projekt je aktivan do kolovoza 2026. godine, nakon čega će se slati izvještaj i zahtjevi za doznakom preostalog dijela sredstava. Po navedenom projektu u izvještajnom razdoblju nisu ostvaren rashodi, prihodi se očekuju. Po uplaćenim sredstvima provest će se zatvaranje obveza za EU predujmove dane od subjekta unutar općeg proračuna.</w:t>
      </w:r>
    </w:p>
    <w:p/>
  </w:body>
</w:document>
</file>

<file path=word/styles.xml><?xml version="1.0" encoding="utf-8"?>
<w:styles xmlns:w="http://schemas.openxmlformats.org/wordprocessingml/2006/main">
  <w:docDefaults>
    <w:rPrDefault>
      <w:rPr>
        <w:rFonts w:ascii="Times New Roman" w:hAnsi="Times New Roman"/>
        <w:sz w:val="24"/>
      </w:rPr>
    </w:rPrDefault>
  </w:docDefaults>
  <w:style w:type="paragraph" w:styleId="Normal" w:default="true">
    <w:name w:val="Normal"/>
    <w:rPr>
      <w:rFonts w:ascii="Times New Roman" w:hAnsi="Times New Roman"/>
      <w:sz w:val="24"/>
    </w:rPr>
  </w:style>
</w:styles>
</file>

<file path=word/_rels/document.xml.rels>&#65279;<?xml version="1.0" encoding="utf-8"?><Relationships xmlns="http://schemas.openxmlformats.org/package/2006/relationships"><Relationship Type="http://schemas.openxmlformats.org/officeDocument/2006/relationships/styles" Target="/word/styles.xml" Id="R6b9c1195832e45ec" /></Relationships>
</file>